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CA" w:rsidRPr="000F440B" w:rsidRDefault="00C621CA" w:rsidP="00C621CA">
      <w:pPr>
        <w:ind w:left="708" w:hanging="708"/>
        <w:outlineLvl w:val="0"/>
        <w:rPr>
          <w:rFonts w:ascii="Arial Narrow" w:hAnsi="Arial Narrow"/>
          <w:b w:val="0"/>
          <w:bCs/>
          <w:sz w:val="24"/>
          <w:szCs w:val="24"/>
        </w:rPr>
      </w:pPr>
      <w:bookmarkStart w:id="0" w:name="_GoBack"/>
      <w:bookmarkEnd w:id="0"/>
    </w:p>
    <w:p w:rsidR="00C621CA" w:rsidRPr="000F440B" w:rsidRDefault="00C621CA" w:rsidP="00C621CA">
      <w:pPr>
        <w:autoSpaceDE w:val="0"/>
        <w:autoSpaceDN w:val="0"/>
        <w:jc w:val="center"/>
        <w:rPr>
          <w:rFonts w:ascii="Arial Narrow" w:hAnsi="Arial Narrow"/>
          <w:bCs/>
          <w:sz w:val="24"/>
          <w:szCs w:val="24"/>
          <w:lang w:val="es-CO"/>
        </w:rPr>
      </w:pPr>
      <w:r w:rsidRPr="000F440B">
        <w:rPr>
          <w:rFonts w:ascii="Arial Narrow" w:hAnsi="Arial Narrow"/>
          <w:bCs/>
          <w:sz w:val="24"/>
          <w:szCs w:val="24"/>
          <w:lang w:val="es-CO"/>
        </w:rPr>
        <w:t xml:space="preserve">ANEXO 31 </w:t>
      </w:r>
    </w:p>
    <w:p w:rsidR="00C621CA" w:rsidRPr="000F440B" w:rsidRDefault="00C621CA" w:rsidP="00C621CA">
      <w:pPr>
        <w:autoSpaceDE w:val="0"/>
        <w:autoSpaceDN w:val="0"/>
        <w:jc w:val="center"/>
        <w:rPr>
          <w:rFonts w:ascii="Arial Narrow" w:hAnsi="Arial Narrow"/>
          <w:bCs/>
          <w:sz w:val="24"/>
          <w:szCs w:val="24"/>
          <w:lang w:val="es-CO"/>
        </w:rPr>
      </w:pPr>
    </w:p>
    <w:p w:rsidR="00C621CA" w:rsidRPr="000F440B" w:rsidRDefault="00C621CA" w:rsidP="00C621CA">
      <w:pPr>
        <w:autoSpaceDE w:val="0"/>
        <w:autoSpaceDN w:val="0"/>
        <w:jc w:val="center"/>
        <w:rPr>
          <w:rFonts w:ascii="Arial Narrow" w:hAnsi="Arial Narrow"/>
          <w:sz w:val="24"/>
          <w:szCs w:val="24"/>
        </w:rPr>
      </w:pPr>
      <w:r w:rsidRPr="000F440B">
        <w:rPr>
          <w:rFonts w:ascii="Arial Narrow" w:hAnsi="Arial Narrow"/>
          <w:sz w:val="24"/>
          <w:szCs w:val="24"/>
        </w:rPr>
        <w:t>MODELO DE CARTA DE CRÉDITO STAND</w:t>
      </w:r>
      <w:r w:rsidRPr="000F440B">
        <w:rPr>
          <w:rFonts w:ascii="Arial Narrow" w:hAnsi="Arial Narrow"/>
          <w:b w:val="0"/>
          <w:sz w:val="24"/>
          <w:szCs w:val="24"/>
        </w:rPr>
        <w:t xml:space="preserve"> </w:t>
      </w:r>
      <w:r w:rsidRPr="000F440B">
        <w:rPr>
          <w:rFonts w:ascii="Arial Narrow" w:hAnsi="Arial Narrow"/>
          <w:sz w:val="24"/>
          <w:szCs w:val="24"/>
        </w:rPr>
        <w:t>BY A PRIMER REQUERIMIENTO</w:t>
      </w:r>
    </w:p>
    <w:p w:rsidR="00C621CA" w:rsidRPr="000F440B" w:rsidRDefault="00C621CA" w:rsidP="00C621CA">
      <w:pPr>
        <w:autoSpaceDE w:val="0"/>
        <w:autoSpaceDN w:val="0"/>
        <w:jc w:val="center"/>
        <w:rPr>
          <w:rFonts w:ascii="Arial Narrow" w:hAnsi="Arial Narrow"/>
          <w:b w:val="0"/>
          <w:sz w:val="24"/>
          <w:szCs w:val="24"/>
        </w:rPr>
      </w:pPr>
    </w:p>
    <w:p w:rsidR="00C621CA" w:rsidRPr="000F440B" w:rsidRDefault="00C621CA" w:rsidP="00C621CA">
      <w:pPr>
        <w:jc w:val="center"/>
        <w:rPr>
          <w:rFonts w:ascii="Arial Narrow" w:hAnsi="Arial Narrow"/>
          <w:i/>
          <w:sz w:val="24"/>
          <w:szCs w:val="24"/>
        </w:rPr>
      </w:pPr>
      <w:r w:rsidRPr="000F440B">
        <w:rPr>
          <w:rFonts w:ascii="Arial Narrow" w:hAnsi="Arial Narrow"/>
          <w:sz w:val="24"/>
          <w:szCs w:val="24"/>
        </w:rPr>
        <w:t>(</w:t>
      </w:r>
      <w:r w:rsidRPr="000F440B">
        <w:rPr>
          <w:rFonts w:ascii="Arial Narrow" w:hAnsi="Arial Narrow"/>
          <w:i/>
          <w:sz w:val="24"/>
          <w:szCs w:val="24"/>
        </w:rPr>
        <w:t xml:space="preserve">Este anexo fue adicionado mediante </w:t>
      </w:r>
      <w:r w:rsidRPr="000F440B">
        <w:rPr>
          <w:rFonts w:ascii="Arial Narrow" w:hAnsi="Arial Narrow"/>
          <w:bCs/>
          <w:i/>
          <w:sz w:val="24"/>
          <w:szCs w:val="24"/>
        </w:rPr>
        <w:t>Circular 12 del 9 de mayo de 2012, publicada en el Boletín Normativo No. 013 del 9 de mayo de 2013. Rige a partir del 14 de mayo de 2013)</w:t>
      </w:r>
    </w:p>
    <w:p w:rsidR="00C621CA" w:rsidRPr="000F440B" w:rsidRDefault="00C621CA" w:rsidP="00C621CA">
      <w:pPr>
        <w:rPr>
          <w:rFonts w:ascii="Arial Narrow" w:hAnsi="Arial Narrow"/>
          <w:b w:val="0"/>
          <w:sz w:val="24"/>
          <w:szCs w:val="24"/>
        </w:rPr>
      </w:pPr>
    </w:p>
    <w:p w:rsidR="00C621CA" w:rsidRPr="000F440B" w:rsidRDefault="00C621CA" w:rsidP="00C621CA">
      <w:pPr>
        <w:jc w:val="both"/>
        <w:rPr>
          <w:rFonts w:ascii="Arial Narrow" w:hAnsi="Arial Narrow"/>
          <w:b w:val="0"/>
          <w:sz w:val="24"/>
          <w:szCs w:val="24"/>
        </w:rPr>
      </w:pPr>
      <w:r w:rsidRPr="000F440B">
        <w:rPr>
          <w:rFonts w:ascii="Arial Narrow" w:hAnsi="Arial Narrow"/>
          <w:b w:val="0"/>
          <w:sz w:val="24"/>
          <w:szCs w:val="24"/>
        </w:rPr>
        <w:t xml:space="preserve">Para los efectos establecidos en el artículo 6.3.12. de la presente Circular, el modelo de Carta de Crédito Stand </w:t>
      </w:r>
      <w:proofErr w:type="spellStart"/>
      <w:r w:rsidRPr="000F440B">
        <w:rPr>
          <w:rFonts w:ascii="Arial Narrow" w:hAnsi="Arial Narrow"/>
          <w:b w:val="0"/>
          <w:sz w:val="24"/>
          <w:szCs w:val="24"/>
        </w:rPr>
        <w:t>By</w:t>
      </w:r>
      <w:proofErr w:type="spellEnd"/>
      <w:r w:rsidRPr="000F440B">
        <w:rPr>
          <w:rFonts w:ascii="Arial Narrow" w:hAnsi="Arial Narrow"/>
          <w:b w:val="0"/>
          <w:sz w:val="24"/>
          <w:szCs w:val="24"/>
        </w:rPr>
        <w:t xml:space="preserve"> a Primer Requerimiento de Carácter Irrevocable que admitirá la Cámara </w:t>
      </w:r>
      <w:r w:rsidRPr="000F440B">
        <w:rPr>
          <w:rFonts w:ascii="Arial Narrow" w:eastAsia="Calibri" w:hAnsi="Arial Narrow"/>
          <w:b w:val="0"/>
          <w:bCs/>
          <w:iCs/>
          <w:sz w:val="24"/>
          <w:szCs w:val="24"/>
        </w:rPr>
        <w:t>para</w:t>
      </w:r>
      <w:r w:rsidRPr="000F440B">
        <w:rPr>
          <w:rFonts w:ascii="Arial Narrow" w:hAnsi="Arial Narrow"/>
          <w:b w:val="0"/>
          <w:sz w:val="24"/>
          <w:szCs w:val="24"/>
        </w:rPr>
        <w:t xml:space="preserve"> la ampliación de los Límites Operativo Diario y de Posición Abierta, es el siguiente:</w:t>
      </w:r>
    </w:p>
    <w:p w:rsidR="00C621CA" w:rsidRPr="000F440B" w:rsidRDefault="00C621CA" w:rsidP="00C621CA">
      <w:pPr>
        <w:jc w:val="both"/>
        <w:rPr>
          <w:rFonts w:ascii="Arial Narrow" w:hAnsi="Arial Narrow"/>
          <w:b w:val="0"/>
          <w:sz w:val="24"/>
          <w:szCs w:val="24"/>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808"/>
      </w:tblGrid>
      <w:tr w:rsidR="00C621CA" w:rsidRPr="000F440B" w:rsidTr="00C210C8">
        <w:tc>
          <w:tcPr>
            <w:tcW w:w="9546" w:type="dxa"/>
          </w:tcPr>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autoSpaceDE w:val="0"/>
              <w:autoSpaceDN w:val="0"/>
              <w:adjustRightInd w:val="0"/>
              <w:ind w:right="333"/>
              <w:jc w:val="center"/>
              <w:rPr>
                <w:rFonts w:ascii="Arial Narrow" w:hAnsi="Arial Narrow"/>
                <w:sz w:val="24"/>
                <w:szCs w:val="24"/>
                <w:u w:val="single"/>
              </w:rPr>
            </w:pPr>
            <w:r w:rsidRPr="000F440B">
              <w:rPr>
                <w:rFonts w:ascii="Arial Narrow" w:hAnsi="Arial Narrow"/>
                <w:sz w:val="24"/>
                <w:szCs w:val="24"/>
                <w:u w:val="single"/>
              </w:rPr>
              <w:t>CARTA DE CRÉDITO STAND</w:t>
            </w:r>
            <w:r w:rsidRPr="000F440B">
              <w:rPr>
                <w:rFonts w:ascii="Arial Narrow" w:hAnsi="Arial Narrow"/>
                <w:b w:val="0"/>
                <w:sz w:val="24"/>
                <w:szCs w:val="24"/>
                <w:u w:val="single"/>
              </w:rPr>
              <w:t xml:space="preserve"> </w:t>
            </w:r>
            <w:r w:rsidRPr="000F440B">
              <w:rPr>
                <w:rFonts w:ascii="Arial Narrow" w:hAnsi="Arial Narrow"/>
                <w:sz w:val="24"/>
                <w:szCs w:val="24"/>
                <w:u w:val="single"/>
              </w:rPr>
              <w:t>BY A PRIMER REQUERIMIENTO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Beneficiario: Cámara de Riesgo Central de Contraparte de Colombia S.A. (“Beneficiario”)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NIT Beneficiario: </w:t>
            </w:r>
            <w:r w:rsidRPr="000F440B">
              <w:rPr>
                <w:rFonts w:ascii="Arial Narrow" w:eastAsia="Calibri" w:hAnsi="Arial Narrow"/>
                <w:b w:val="0"/>
                <w:bCs/>
                <w:iCs/>
                <w:sz w:val="24"/>
                <w:szCs w:val="24"/>
                <w:highlight w:val="lightGray"/>
              </w:rPr>
              <w:t>[insertar número]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Ordenante: </w:t>
            </w:r>
            <w:r w:rsidRPr="000F440B">
              <w:rPr>
                <w:rFonts w:ascii="Arial Narrow" w:eastAsia="Calibri" w:hAnsi="Arial Narrow"/>
                <w:b w:val="0"/>
                <w:bCs/>
                <w:iCs/>
                <w:sz w:val="24"/>
                <w:szCs w:val="24"/>
                <w:highlight w:val="lightGray"/>
              </w:rPr>
              <w:t>[insertar nombre completo]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NIT Ordenante: </w:t>
            </w:r>
            <w:r w:rsidRPr="000F440B">
              <w:rPr>
                <w:rFonts w:ascii="Arial Narrow" w:eastAsia="Calibri" w:hAnsi="Arial Narrow"/>
                <w:b w:val="0"/>
                <w:bCs/>
                <w:iCs/>
                <w:sz w:val="24"/>
                <w:szCs w:val="24"/>
                <w:highlight w:val="lightGray"/>
              </w:rPr>
              <w:t>[insertar número]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Banco Emisor: </w:t>
            </w:r>
            <w:r w:rsidRPr="000F440B">
              <w:rPr>
                <w:rFonts w:ascii="Arial Narrow" w:eastAsia="Calibri" w:hAnsi="Arial Narrow"/>
                <w:b w:val="0"/>
                <w:bCs/>
                <w:iCs/>
                <w:sz w:val="24"/>
                <w:szCs w:val="24"/>
                <w:highlight w:val="lightGray"/>
              </w:rPr>
              <w:t>[insertar nombre banco emisor]</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Fecha de Emisión: </w:t>
            </w:r>
            <w:r w:rsidRPr="000F440B">
              <w:rPr>
                <w:rFonts w:ascii="Arial Narrow" w:eastAsia="Calibri" w:hAnsi="Arial Narrow"/>
                <w:b w:val="0"/>
                <w:bCs/>
                <w:iCs/>
                <w:sz w:val="24"/>
                <w:szCs w:val="24"/>
                <w:highlight w:val="lightGray"/>
              </w:rPr>
              <w:t>[insertar fecha]</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Fecha de Vencimiento: </w:t>
            </w:r>
            <w:r w:rsidRPr="000F440B">
              <w:rPr>
                <w:rFonts w:ascii="Arial Narrow" w:eastAsia="Calibri" w:hAnsi="Arial Narrow"/>
                <w:b w:val="0"/>
                <w:bCs/>
                <w:iCs/>
                <w:sz w:val="24"/>
                <w:szCs w:val="24"/>
                <w:highlight w:val="lightGray"/>
              </w:rPr>
              <w:t>[insertar fecha]</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Monto Garantizado: </w:t>
            </w:r>
            <w:r w:rsidRPr="000F440B">
              <w:rPr>
                <w:rFonts w:ascii="Arial Narrow" w:eastAsia="Calibri" w:hAnsi="Arial Narrow"/>
                <w:b w:val="0"/>
                <w:bCs/>
                <w:iCs/>
                <w:sz w:val="24"/>
                <w:szCs w:val="24"/>
                <w:highlight w:val="lightGray"/>
              </w:rPr>
              <w:t>[insertar monto en números]</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Bajo nuestra responsabilidad directa y por orden de nuestro cliente </w:t>
            </w:r>
            <w:r w:rsidRPr="000F440B">
              <w:rPr>
                <w:rFonts w:ascii="Arial Narrow" w:eastAsia="Calibri" w:hAnsi="Arial Narrow"/>
                <w:b w:val="0"/>
                <w:bCs/>
                <w:iCs/>
                <w:sz w:val="24"/>
                <w:szCs w:val="24"/>
                <w:highlight w:val="lightGray"/>
              </w:rPr>
              <w:t>[insertar nombre Ordenante]</w:t>
            </w:r>
            <w:r w:rsidRPr="000F440B">
              <w:rPr>
                <w:rFonts w:ascii="Arial Narrow" w:eastAsia="Calibri" w:hAnsi="Arial Narrow"/>
                <w:b w:val="0"/>
                <w:bCs/>
                <w:iCs/>
                <w:sz w:val="24"/>
                <w:szCs w:val="24"/>
              </w:rPr>
              <w:t xml:space="preserve"> (“Ordenante”), emitimos esta Carta de Crédito Stand </w:t>
            </w:r>
            <w:proofErr w:type="spellStart"/>
            <w:r w:rsidRPr="000F440B">
              <w:rPr>
                <w:rFonts w:ascii="Arial Narrow" w:eastAsia="Calibri" w:hAnsi="Arial Narrow"/>
                <w:b w:val="0"/>
                <w:bCs/>
                <w:iCs/>
                <w:sz w:val="24"/>
                <w:szCs w:val="24"/>
              </w:rPr>
              <w:t>By</w:t>
            </w:r>
            <w:proofErr w:type="spellEnd"/>
            <w:r w:rsidRPr="000F440B">
              <w:rPr>
                <w:rFonts w:ascii="Arial Narrow" w:eastAsia="Calibri" w:hAnsi="Arial Narrow"/>
                <w:b w:val="0"/>
                <w:bCs/>
                <w:iCs/>
                <w:sz w:val="24"/>
                <w:szCs w:val="24"/>
              </w:rPr>
              <w:t xml:space="preserve"> irrevocable y a primer requerimiento (“SBLC”), hasta por la suma de </w:t>
            </w:r>
            <w:r w:rsidRPr="000F440B">
              <w:rPr>
                <w:rFonts w:ascii="Arial Narrow" w:eastAsia="Calibri" w:hAnsi="Arial Narrow"/>
                <w:b w:val="0"/>
                <w:bCs/>
                <w:iCs/>
                <w:sz w:val="24"/>
                <w:szCs w:val="24"/>
                <w:highlight w:val="lightGray"/>
              </w:rPr>
              <w:t>[insertar Monto Garantizado en números]</w:t>
            </w:r>
            <w:r w:rsidRPr="000F440B">
              <w:rPr>
                <w:rFonts w:ascii="Arial Narrow" w:eastAsia="Calibri" w:hAnsi="Arial Narrow"/>
                <w:b w:val="0"/>
                <w:bCs/>
                <w:iCs/>
                <w:sz w:val="24"/>
                <w:szCs w:val="24"/>
              </w:rPr>
              <w:t xml:space="preserve"> (“Monto Garantizado”), a favor de la Cámara de Riesgo Central de Contraparte de Colombia S.A. (“Beneficiario”) con domicilio principal en la ciudad de Bogotá D.C., Colombia, para garantizar todas y cualesquiera obligaciones presentes o futuras del Ordenante, que deba directa o indirectamente, conjunta o separadamente al Beneficiario, entre otras, aquellas obligaciones relacionadas directa o indirectamente con las operaciones del Ordenante aceptadas por el Beneficiario para su liquidación y compensación (“Obligaciones Garantizadas”).</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Esta SBLC será pagadera a primer requerimiento, sin beneficio de excusión, contra la presentación al </w:t>
            </w:r>
            <w:r w:rsidRPr="000F440B">
              <w:rPr>
                <w:rFonts w:ascii="Arial Narrow" w:eastAsia="Calibri" w:hAnsi="Arial Narrow"/>
                <w:b w:val="0"/>
                <w:bCs/>
                <w:iCs/>
                <w:sz w:val="24"/>
                <w:szCs w:val="24"/>
                <w:highlight w:val="lightGray"/>
              </w:rPr>
              <w:t>[insertar nombre del Banco Emisor]</w:t>
            </w:r>
            <w:r w:rsidRPr="000F440B">
              <w:rPr>
                <w:rFonts w:ascii="Arial Narrow" w:eastAsia="Calibri" w:hAnsi="Arial Narrow"/>
                <w:b w:val="0"/>
                <w:bCs/>
                <w:iCs/>
                <w:sz w:val="24"/>
                <w:szCs w:val="24"/>
              </w:rPr>
              <w:t xml:space="preserve"> (“Banco Emisor”) en sus oficinas ubicadas en </w:t>
            </w:r>
            <w:r w:rsidRPr="000F440B">
              <w:rPr>
                <w:rFonts w:ascii="Arial Narrow" w:eastAsia="Calibri" w:hAnsi="Arial Narrow"/>
                <w:b w:val="0"/>
                <w:bCs/>
                <w:iCs/>
                <w:sz w:val="24"/>
                <w:szCs w:val="24"/>
                <w:highlight w:val="lightGray"/>
              </w:rPr>
              <w:t>[insertar dirección completa de oficina del Banco Emisor en la que deberá hacerse la presentación]</w:t>
            </w:r>
            <w:r w:rsidRPr="000F440B">
              <w:rPr>
                <w:rFonts w:ascii="Arial Narrow" w:eastAsia="Calibri" w:hAnsi="Arial Narrow"/>
                <w:b w:val="0"/>
                <w:bCs/>
                <w:iCs/>
                <w:sz w:val="24"/>
                <w:szCs w:val="24"/>
              </w:rPr>
              <w:t xml:space="preserve"> en la ciudad de Bogotá D.C., Colombia (“Oficinas del Banco Emisor”), a más tardar a las 4:00 pm hora Colombiana de la Fecha de Vencimiento, de una solicitud de pago por escrito, en idioma español, suscrita y reconocida en texto y firmas ante notario por el representante legal del Beneficiario, declarando que el Ordenante ha incumplido una de las Obligaciones Garantizadas, indicando que hace efectiva esta SBLC y el monto por el cual ejecuta la misma (“Solicitud”), sin que el Banco Emisor pueda pedir o exigir documentación o requisito adicional alguno para cumplir con su obligación de pagar.</w:t>
            </w:r>
          </w:p>
          <w:p w:rsidR="00C621CA" w:rsidRPr="000F440B" w:rsidRDefault="00C621CA" w:rsidP="00C210C8">
            <w:pPr>
              <w:autoSpaceDE w:val="0"/>
              <w:autoSpaceDN w:val="0"/>
              <w:adjustRightInd w:val="0"/>
              <w:ind w:left="284"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lastRenderedPageBreak/>
              <w:t>El Banco Emisor se compromete a pagar al Beneficiario mediante depósito en la cuenta bancaria que para tal efecto señale el Beneficiario, el monto establecido por este último en la Solicitud, siempre que el mismo no supere el Monto Garantizado, sin ningún tipo de objeción o demora, en fondos inmediatamente disponibles, dentro de los tres (3) días hábiles siguientes a la recepción de la Solicitud en los términos establecidos en la presente SBLC.</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La presente SBLC podrá ser ejecutada por parte del Beneficiario por la totalidad del Monto Garantizado o por cualquier suma inferior. Si fuera ejecutada por una suma inferior al Monto Garantizado, el pago por parte del Banco Emisor disminuirá el Monto Garantizado en la cantidad efectivamente pagada.</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Esta SBLC estará vigente hasta las 4:00 pm hora Colombiana del día </w:t>
            </w:r>
            <w:r w:rsidRPr="000F440B">
              <w:rPr>
                <w:rFonts w:ascii="Arial Narrow" w:eastAsia="Calibri" w:hAnsi="Arial Narrow"/>
                <w:b w:val="0"/>
                <w:bCs/>
                <w:iCs/>
                <w:sz w:val="24"/>
                <w:szCs w:val="24"/>
                <w:highlight w:val="lightGray"/>
              </w:rPr>
              <w:t>[insertar Fecha de Vencimiento]</w:t>
            </w:r>
            <w:r w:rsidRPr="000F440B">
              <w:rPr>
                <w:rFonts w:ascii="Arial Narrow" w:eastAsia="Calibri" w:hAnsi="Arial Narrow"/>
                <w:b w:val="0"/>
                <w:bCs/>
                <w:iCs/>
                <w:sz w:val="24"/>
                <w:szCs w:val="24"/>
              </w:rPr>
              <w:t xml:space="preserve"> (“Fecha de Vencimiento”). En caso de que esta SBLC sea prorrogada por el Banco Emisor, se tendrá por Fecha de Vencimiento la nueva fecha definida como tal dentro del documento de prórroga expedido por el Banco Emisor.</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Esta SBLC será irrevocable y no podrá ser modificada, reconvenida o cancelada durante su vigencia, sin el consentimiento previo, expreso y escrito del Beneficiario. También es totalmente abstracta, independiente y autónoma de cualquier negocio causal o subyacente, y de cualesquiera obligaciones y derechos derivados de dichos negocios causales o subyacentes.</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 xml:space="preserve">Esta SBLC se encuentra sujeta a las </w:t>
            </w:r>
            <w:r w:rsidRPr="000F440B">
              <w:rPr>
                <w:rFonts w:ascii="Arial Narrow" w:eastAsia="Calibri" w:hAnsi="Arial Narrow"/>
                <w:b w:val="0"/>
                <w:bCs/>
                <w:iCs/>
                <w:sz w:val="24"/>
                <w:szCs w:val="24"/>
                <w:highlight w:val="lightGray"/>
              </w:rPr>
              <w:t xml:space="preserve">[escoger uno cualquiera de los textos que están entre comillas “Prácticas Internacionales de Stand </w:t>
            </w:r>
            <w:proofErr w:type="spellStart"/>
            <w:r w:rsidRPr="000F440B">
              <w:rPr>
                <w:rFonts w:ascii="Arial Narrow" w:eastAsia="Calibri" w:hAnsi="Arial Narrow"/>
                <w:b w:val="0"/>
                <w:bCs/>
                <w:iCs/>
                <w:sz w:val="24"/>
                <w:szCs w:val="24"/>
                <w:highlight w:val="lightGray"/>
              </w:rPr>
              <w:t>By</w:t>
            </w:r>
            <w:proofErr w:type="spellEnd"/>
            <w:r w:rsidRPr="000F440B">
              <w:rPr>
                <w:rFonts w:ascii="Arial Narrow" w:eastAsia="Calibri" w:hAnsi="Arial Narrow"/>
                <w:b w:val="0"/>
                <w:bCs/>
                <w:iCs/>
                <w:sz w:val="24"/>
                <w:szCs w:val="24"/>
                <w:highlight w:val="lightGray"/>
              </w:rPr>
              <w:t xml:space="preserve"> 1998 del Instituto de Derecho y Prácticas Bancarias Internacional (ISP98)” /o/ “Reglas Uniformes para Garantías a Primer Requerimiento Revisión 2010 de la Cámara de Comercio Internacional (URDG 758)”  /o/ “Reglas y Usos Uniformes para Créditos Documentarios, revisión 2007, publicación No. 600 de la Cámara de Comercio Internacional (UCP 600)”]</w:t>
            </w:r>
            <w:r w:rsidRPr="000F440B">
              <w:rPr>
                <w:rFonts w:ascii="Arial Narrow" w:eastAsia="Calibri" w:hAnsi="Arial Narrow"/>
                <w:b w:val="0"/>
                <w:bCs/>
                <w:iCs/>
                <w:sz w:val="24"/>
                <w:szCs w:val="24"/>
              </w:rPr>
              <w:t xml:space="preserve"> (las “Reglas”).  Las Reglas serán obligatorias para todas las partes intervinientes, entre ellos Ordenante, Banco Emisor, confirmante, avisador y Beneficiario, salvo que alguna de dichas Reglas haya sido expresamente modificada o excluida en esta SBLC.</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Cualquier Solicitud en virtud de esta SBLC deberá ser recibida por el Banco Emisor en o antes de la hora y Fecha de Vencimiento.</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p>
          <w:p w:rsidR="00C621CA" w:rsidRPr="000F440B" w:rsidRDefault="00C621CA" w:rsidP="00C210C8">
            <w:pPr>
              <w:jc w:val="both"/>
              <w:rPr>
                <w:rFonts w:ascii="Arial Narrow" w:eastAsia="Calibri" w:hAnsi="Arial Narrow"/>
                <w:b w:val="0"/>
                <w:bCs/>
                <w:iCs/>
                <w:sz w:val="24"/>
                <w:szCs w:val="24"/>
              </w:rPr>
            </w:pPr>
            <w:r w:rsidRPr="000F440B">
              <w:rPr>
                <w:rFonts w:ascii="Arial Narrow" w:eastAsia="Calibri" w:hAnsi="Arial Narrow"/>
                <w:b w:val="0"/>
                <w:bCs/>
                <w:iCs/>
                <w:sz w:val="24"/>
                <w:szCs w:val="24"/>
              </w:rPr>
              <w:t>Esta SBLC no podrá ser cedida o endosada por el Beneficiario sin el consentimiento previo y por escrito del Banco Emisor.</w:t>
            </w:r>
          </w:p>
          <w:p w:rsidR="00C621CA" w:rsidRPr="000F440B" w:rsidRDefault="00C621CA" w:rsidP="00C210C8">
            <w:pPr>
              <w:autoSpaceDE w:val="0"/>
              <w:autoSpaceDN w:val="0"/>
              <w:adjustRightInd w:val="0"/>
              <w:ind w:left="284" w:right="333"/>
              <w:jc w:val="both"/>
              <w:rPr>
                <w:rFonts w:ascii="Arial Narrow" w:eastAsia="Calibri" w:hAnsi="Arial Narrow"/>
                <w:b w:val="0"/>
                <w:bCs/>
                <w:iCs/>
                <w:sz w:val="24"/>
                <w:szCs w:val="24"/>
              </w:rPr>
            </w:pP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highlight w:val="lightGray"/>
              </w:rPr>
              <w:t>[Nombre completo del Banco Emisor]</w:t>
            </w:r>
          </w:p>
          <w:p w:rsidR="00C621CA" w:rsidRPr="000F440B" w:rsidRDefault="00C621CA" w:rsidP="00C210C8">
            <w:pPr>
              <w:autoSpaceDE w:val="0"/>
              <w:autoSpaceDN w:val="0"/>
              <w:adjustRightInd w:val="0"/>
              <w:ind w:right="333"/>
              <w:rPr>
                <w:rFonts w:ascii="Arial Narrow" w:eastAsia="Calibri" w:hAnsi="Arial Narrow"/>
                <w:b w:val="0"/>
                <w:bCs/>
                <w:iCs/>
                <w:sz w:val="24"/>
                <w:szCs w:val="24"/>
                <w:highlight w:val="lightGray"/>
              </w:rPr>
            </w:pPr>
            <w:r w:rsidRPr="000F440B">
              <w:rPr>
                <w:rFonts w:ascii="Arial Narrow" w:eastAsia="Calibri" w:hAnsi="Arial Narrow"/>
                <w:b w:val="0"/>
                <w:bCs/>
                <w:iCs/>
                <w:sz w:val="24"/>
                <w:szCs w:val="24"/>
                <w:highlight w:val="lightGray"/>
              </w:rPr>
              <w:t>[Firma de quien suscribe por el Banco Emisor]</w:t>
            </w:r>
            <w:r w:rsidRPr="000F440B">
              <w:rPr>
                <w:rFonts w:ascii="Arial Narrow" w:eastAsia="Calibri" w:hAnsi="Arial Narrow"/>
                <w:b w:val="0"/>
                <w:bCs/>
                <w:iCs/>
                <w:sz w:val="24"/>
                <w:szCs w:val="24"/>
              </w:rPr>
              <w:br/>
              <w:t>______________________________________</w:t>
            </w:r>
            <w:r w:rsidRPr="000F440B">
              <w:rPr>
                <w:rFonts w:ascii="Arial Narrow" w:eastAsia="Calibri" w:hAnsi="Arial Narrow"/>
                <w:b w:val="0"/>
                <w:bCs/>
                <w:iCs/>
                <w:sz w:val="24"/>
                <w:szCs w:val="24"/>
              </w:rPr>
              <w:br/>
            </w:r>
            <w:r w:rsidRPr="000F440B">
              <w:rPr>
                <w:rFonts w:ascii="Arial Narrow" w:eastAsia="Calibri" w:hAnsi="Arial Narrow"/>
                <w:b w:val="0"/>
                <w:bCs/>
                <w:iCs/>
                <w:sz w:val="24"/>
                <w:szCs w:val="24"/>
                <w:highlight w:val="lightGray"/>
              </w:rPr>
              <w:t>[Nombre de quien suscribe por el Banco Emisor]</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highlight w:val="lightGray"/>
              </w:rPr>
            </w:pPr>
            <w:r w:rsidRPr="000F440B">
              <w:rPr>
                <w:rFonts w:ascii="Arial Narrow" w:eastAsia="Calibri" w:hAnsi="Arial Narrow"/>
                <w:b w:val="0"/>
                <w:bCs/>
                <w:iCs/>
                <w:sz w:val="24"/>
                <w:szCs w:val="24"/>
                <w:highlight w:val="lightGray"/>
              </w:rPr>
              <w:t>[Cédula de quien suscribe por el Banco Emisor]</w:t>
            </w:r>
          </w:p>
          <w:p w:rsidR="00C621CA" w:rsidRPr="000F440B" w:rsidRDefault="00C621CA" w:rsidP="00C210C8">
            <w:pPr>
              <w:autoSpaceDE w:val="0"/>
              <w:autoSpaceDN w:val="0"/>
              <w:adjustRightInd w:val="0"/>
              <w:ind w:right="333"/>
              <w:jc w:val="both"/>
              <w:rPr>
                <w:rFonts w:ascii="Arial Narrow" w:eastAsia="Calibri" w:hAnsi="Arial Narrow"/>
                <w:b w:val="0"/>
                <w:bCs/>
                <w:iCs/>
                <w:sz w:val="24"/>
                <w:szCs w:val="24"/>
              </w:rPr>
            </w:pPr>
            <w:r w:rsidRPr="000F440B">
              <w:rPr>
                <w:rFonts w:ascii="Arial Narrow" w:eastAsia="Calibri" w:hAnsi="Arial Narrow"/>
                <w:b w:val="0"/>
                <w:bCs/>
                <w:iCs/>
                <w:sz w:val="24"/>
                <w:szCs w:val="24"/>
                <w:highlight w:val="lightGray"/>
              </w:rPr>
              <w:t>[Calidad en que actúa quien suscribe por el Banco Emisor]</w:t>
            </w:r>
          </w:p>
          <w:p w:rsidR="00C621CA" w:rsidRPr="000F440B" w:rsidRDefault="00C621CA" w:rsidP="00C210C8">
            <w:pPr>
              <w:jc w:val="both"/>
              <w:rPr>
                <w:rFonts w:ascii="Arial Narrow" w:hAnsi="Arial Narrow"/>
                <w:b w:val="0"/>
                <w:sz w:val="24"/>
                <w:szCs w:val="24"/>
              </w:rPr>
            </w:pPr>
          </w:p>
        </w:tc>
      </w:tr>
    </w:tbl>
    <w:p w:rsidR="00C621CA" w:rsidRPr="000F440B" w:rsidRDefault="00C621CA" w:rsidP="00C621CA">
      <w:pPr>
        <w:rPr>
          <w:rFonts w:ascii="Arial Narrow" w:hAnsi="Arial Narrow"/>
          <w:sz w:val="24"/>
          <w:szCs w:val="24"/>
        </w:rPr>
      </w:pPr>
    </w:p>
    <w:p w:rsidR="00C621CA" w:rsidRPr="000F440B" w:rsidRDefault="00C621CA" w:rsidP="00C621CA">
      <w:pPr>
        <w:jc w:val="both"/>
        <w:rPr>
          <w:rFonts w:ascii="Arial Narrow" w:hAnsi="Arial Narrow"/>
          <w:b w:val="0"/>
          <w:sz w:val="24"/>
          <w:szCs w:val="24"/>
        </w:rPr>
      </w:pPr>
      <w:r w:rsidRPr="000F440B">
        <w:rPr>
          <w:rFonts w:ascii="Arial Narrow" w:hAnsi="Arial Narrow"/>
          <w:sz w:val="24"/>
          <w:szCs w:val="24"/>
        </w:rPr>
        <w:lastRenderedPageBreak/>
        <w:t xml:space="preserve">PARÁGRAFO. </w:t>
      </w:r>
      <w:r w:rsidRPr="000F440B">
        <w:rPr>
          <w:rFonts w:ascii="Arial Narrow" w:hAnsi="Arial Narrow"/>
          <w:b w:val="0"/>
          <w:sz w:val="24"/>
          <w:szCs w:val="24"/>
        </w:rPr>
        <w:t>La CRCC S.A. informa que no se aceptarán cartas de crédito emitidas en condiciones diferentes a las establecidas en la presente Circular.</w:t>
      </w:r>
    </w:p>
    <w:p w:rsidR="00C621CA" w:rsidRPr="000F440B" w:rsidRDefault="00C621CA" w:rsidP="00C621CA">
      <w:pPr>
        <w:jc w:val="both"/>
        <w:rPr>
          <w:rFonts w:ascii="Arial Narrow" w:hAnsi="Arial Narrow"/>
          <w:b w:val="0"/>
          <w:sz w:val="24"/>
          <w:szCs w:val="24"/>
        </w:rPr>
      </w:pPr>
    </w:p>
    <w:p w:rsidR="00903AB2" w:rsidRDefault="00903AB2"/>
    <w:sectPr w:rsidR="00903AB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7A6" w:rsidRDefault="004027A6" w:rsidP="00C621CA">
      <w:r>
        <w:separator/>
      </w:r>
    </w:p>
  </w:endnote>
  <w:endnote w:type="continuationSeparator" w:id="0">
    <w:p w:rsidR="004027A6" w:rsidRDefault="004027A6" w:rsidP="00C6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7A6" w:rsidRDefault="004027A6" w:rsidP="00C621CA">
      <w:r>
        <w:separator/>
      </w:r>
    </w:p>
  </w:footnote>
  <w:footnote w:type="continuationSeparator" w:id="0">
    <w:p w:rsidR="004027A6" w:rsidRDefault="004027A6" w:rsidP="00C6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1CA" w:rsidRDefault="006F4D51" w:rsidP="00C621CA">
    <w:pPr>
      <w:pStyle w:val="Encabezado"/>
      <w:jc w:val="right"/>
    </w:pPr>
    <w:r>
      <w:rPr>
        <w:noProof/>
        <w:lang w:val="es-CO" w:eastAsia="es-CO"/>
      </w:rPr>
      <w:drawing>
        <wp:inline distT="0" distB="0" distL="0" distR="0" wp14:anchorId="6FCBB476" wp14:editId="74D702F5">
          <wp:extent cx="1957070" cy="475615"/>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p w:rsidR="00C621CA" w:rsidRDefault="00C621CA" w:rsidP="00C621CA">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CA"/>
    <w:rsid w:val="00122170"/>
    <w:rsid w:val="004027A6"/>
    <w:rsid w:val="005226F1"/>
    <w:rsid w:val="00530D7F"/>
    <w:rsid w:val="006F4D51"/>
    <w:rsid w:val="00903AB2"/>
    <w:rsid w:val="00977905"/>
    <w:rsid w:val="00985311"/>
    <w:rsid w:val="00C621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8D2F3-A339-4BFD-BA07-33BBE704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CA"/>
    <w:pPr>
      <w:spacing w:after="0" w:line="240" w:lineRule="auto"/>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621C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21CA"/>
    <w:pPr>
      <w:tabs>
        <w:tab w:val="center" w:pos="4419"/>
        <w:tab w:val="right" w:pos="8838"/>
      </w:tabs>
    </w:pPr>
  </w:style>
  <w:style w:type="character" w:customStyle="1" w:styleId="EncabezadoCar">
    <w:name w:val="Encabezado Car"/>
    <w:basedOn w:val="Fuentedeprrafopredeter"/>
    <w:link w:val="Encabezado"/>
    <w:uiPriority w:val="99"/>
    <w:rsid w:val="00C621CA"/>
    <w:rPr>
      <w:rFonts w:ascii="Arial" w:eastAsia="Times New Roman" w:hAnsi="Arial" w:cs="Arial"/>
      <w:b/>
      <w:lang w:val="es-ES" w:eastAsia="es-ES"/>
    </w:rPr>
  </w:style>
  <w:style w:type="paragraph" w:styleId="Piedepgina">
    <w:name w:val="footer"/>
    <w:basedOn w:val="Normal"/>
    <w:link w:val="PiedepginaCar"/>
    <w:uiPriority w:val="99"/>
    <w:unhideWhenUsed/>
    <w:rsid w:val="00C621CA"/>
    <w:pPr>
      <w:tabs>
        <w:tab w:val="center" w:pos="4419"/>
        <w:tab w:val="right" w:pos="8838"/>
      </w:tabs>
    </w:pPr>
  </w:style>
  <w:style w:type="character" w:customStyle="1" w:styleId="PiedepginaCar">
    <w:name w:val="Pie de página Car"/>
    <w:basedOn w:val="Fuentedeprrafopredeter"/>
    <w:link w:val="Piedepgina"/>
    <w:uiPriority w:val="99"/>
    <w:rsid w:val="00C621CA"/>
    <w:rPr>
      <w:rFonts w:ascii="Arial" w:eastAsia="Times New Roman" w:hAnsi="Arial" w:cs="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Gutierrez Soto</dc:creator>
  <cp:keywords/>
  <dc:description/>
  <cp:lastModifiedBy>Stefany Gamez</cp:lastModifiedBy>
  <cp:revision>2</cp:revision>
  <dcterms:created xsi:type="dcterms:W3CDTF">2017-10-31T18:59:00Z</dcterms:created>
  <dcterms:modified xsi:type="dcterms:W3CDTF">2017-10-31T18:59:00Z</dcterms:modified>
</cp:coreProperties>
</file>